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pStyle w:val="0"/>
        <w:rPr>
          <w:rFonts w:hAnsi="Century Gothic" w:ascii="Century Gothic"/>
          <w:sz w:val="32"/>
          <w:b w:val="1"/>
          <w:color w:val="002060"/>
        </w:rPr>
      </w:pPr>
      <w:r>
        <w:rPr>
          <w:rFonts w:hAnsi="Century Gothic" w:ascii="Century Gothic"/>
          <w:sz w:val="32"/>
          <w:b w:val="1"/>
          <w:color w:val="002060"/>
        </w:rPr>
        <w:t>КОНЦЕПЦИЯ</w:t>
      </w:r>
    </w:p>
    <w:p>
      <w:pPr>
        <w:jc w:val="center"/>
        <w:pStyle w:val="0"/>
        <w:rPr>
          <w:rFonts w:hAnsi="Century Gothic" w:ascii="Century Gothic"/>
          <w:sz w:val="32"/>
          <w:b w:val="1"/>
          <w:color w:val="002060"/>
        </w:rPr>
      </w:pPr>
      <w:r>
        <w:rPr>
          <w:rFonts w:hAnsi="Century Gothic" w:ascii="Century Gothic"/>
          <w:sz w:val="32"/>
          <w:b w:val="1"/>
          <w:color w:val="002060"/>
        </w:rPr>
        <w:t xml:space="preserve">проведения выпускных мероприятий </w:t>
      </w:r>
    </w:p>
    <w:p>
      <w:pPr>
        <w:jc w:val="center"/>
        <w:pStyle w:val="0"/>
        <w:rPr>
          <w:rFonts w:hAnsi="Century Gothic" w:ascii="Century Gothic"/>
          <w:sz w:val="32"/>
          <w:b w:val="1"/>
          <w:color w:val="002060"/>
        </w:rPr>
      </w:pPr>
      <w:r>
        <w:rPr>
          <w:rFonts w:hAnsi="Century Gothic" w:ascii="Century Gothic"/>
          <w:sz w:val="32"/>
          <w:b w:val="1"/>
          <w:color w:val="002060"/>
        </w:rPr>
        <w:t xml:space="preserve">в организациях общего среднего образования</w:t>
      </w:r>
    </w:p>
    <w:p>
      <w:pPr>
        <w:jc w:val="center"/>
        <w:pStyle w:val="0"/>
        <w:rPr>
          <w:rFonts w:hAnsi="Century Gothic" w:ascii="Century Gothic"/>
          <w:sz w:val="32"/>
          <w:b w:val="1"/>
        </w:rPr>
      </w:pPr>
    </w:p>
    <w:p>
      <w:pPr>
        <w:jc w:val="both"/>
        <w:ind w:firstLine="709"/>
        <w:pStyle w:val="0"/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  <w:b w:val="1"/>
          <w:color w:val="002060"/>
        </w:rPr>
        <w:t xml:space="preserve">Выпускные мероприятия </w:t>
      </w:r>
      <w:r>
        <w:rPr>
          <w:rFonts w:hAnsi="Century Gothic" w:ascii="Century Gothic"/>
          <w:sz w:val="32"/>
        </w:rPr>
        <w:t xml:space="preserve">– это знаковое событие в жизни каждого выпускника, олицетворяющее собой переход во взрослую самостоятельную жизнь, последнее школьное мероприятие, которое должно стать уроком нравственности, доброты и благодарности.</w:t>
      </w:r>
    </w:p>
    <w:p>
      <w:pPr>
        <w:jc w:val="both"/>
        <w:ind w:firstLine="709"/>
        <w:pStyle w:val="0"/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  <w:b w:val="1"/>
          <w:color w:val="002060"/>
        </w:rPr>
        <w:t>Концепция</w:t>
      </w:r>
      <w:r>
        <w:rPr>
          <w:rFonts w:hAnsi="Century Gothic" w:ascii="Century Gothic"/>
          <w:sz w:val="32"/>
        </w:rPr>
        <w:t xml:space="preserve"> проведения выпускных мероприятий разработана  в соответствии с:</w:t>
      </w:r>
    </w:p>
    <w:p>
      <w:pPr>
        <w:jc w:val="both"/>
        <w:ind w:left="0" w:firstLine="709"/>
        <w:pStyle w:val="0"/>
        <w:numPr>
          <w:ilvl w:val="0"/>
          <w:numId w:val="8"/>
        </w:numPr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  <w:color w:val="000000"/>
          <w:shd w:fill="ffffff"/>
        </w:rPr>
        <w:t xml:space="preserve">общенациональной патриотической идеей «М</w:t>
      </w:r>
      <w:r>
        <w:rPr>
          <w:rFonts w:hAnsi="Arial" w:ascii="Arial"/>
          <w:sz w:val="32"/>
          <w:color w:val="000000"/>
          <w:shd w:fill="ffffff"/>
        </w:rPr>
        <w:t>әң</w:t>
      </w:r>
      <w:r>
        <w:rPr>
          <w:rFonts w:hAnsi="Century Gothic" w:ascii="Century Gothic"/>
          <w:sz w:val="32"/>
          <w:color w:val="000000"/>
          <w:shd w:fill="ffffff"/>
        </w:rPr>
        <w:t xml:space="preserve">гілік Ел»;</w:t>
      </w:r>
    </w:p>
    <w:p>
      <w:pPr>
        <w:jc w:val="both"/>
        <w:ind w:left="0" w:firstLine="709"/>
        <w:pStyle w:val="0"/>
        <w:numPr>
          <w:ilvl w:val="0"/>
          <w:numId w:val="8"/>
        </w:numPr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Концептуальными основами воспитания (приказ МОН РК от 22 апреля 2015 года № 227);</w:t>
      </w:r>
    </w:p>
    <w:p>
      <w:pPr>
        <w:jc w:val="both"/>
        <w:ind w:left="0" w:firstLine="709"/>
        <w:pStyle w:val="0"/>
        <w:numPr>
          <w:ilvl w:val="0"/>
          <w:numId w:val="8"/>
        </w:numPr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 приказом Министра образования и науки РК                         от 24 марта 2017 года № 128 «О завершении 2016-2017 учебного года и проведении итоговой аттестации обучающихся в организациях среднего образования».</w:t>
      </w:r>
    </w:p>
    <w:p>
      <w:pPr>
        <w:jc w:val="both"/>
        <w:ind w:firstLine="709"/>
        <w:pStyle w:val="0"/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  <w:b w:val="1"/>
          <w:color w:val="002060"/>
        </w:rPr>
        <w:t xml:space="preserve">Цель Выпускного бала:</w:t>
      </w:r>
      <w:r>
        <w:rPr>
          <w:rFonts w:hAnsi="Century Gothic" w:ascii="Century Gothic"/>
          <w:sz w:val="32"/>
          <w:b w:val="1"/>
        </w:rPr>
        <w:t xml:space="preserve"> </w:t>
      </w:r>
      <w:r>
        <w:rPr>
          <w:rFonts w:hAnsi="Century Gothic" w:ascii="Century Gothic"/>
          <w:sz w:val="32"/>
        </w:rPr>
        <w:t xml:space="preserve">развитие у молодежи высокой социальной активности и стремления быть достойными гражданами Республики Казахстан. </w:t>
      </w:r>
    </w:p>
    <w:p>
      <w:pPr>
        <w:jc w:val="both"/>
        <w:ind w:firstLine="709"/>
        <w:pStyle w:val="0"/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  <w:b w:val="1"/>
          <w:color w:val="002060"/>
        </w:rPr>
        <w:t xml:space="preserve">Задачи Выпускного бала:</w:t>
      </w:r>
      <w:r>
        <w:rPr>
          <w:rFonts w:hAnsi="Century Gothic" w:ascii="Century Gothic"/>
          <w:sz w:val="32"/>
        </w:rPr>
        <w:t xml:space="preserve"> </w:t>
      </w:r>
    </w:p>
    <w:p>
      <w:pPr>
        <w:jc w:val="both"/>
        <w:ind w:left="0" w:firstLine="709"/>
        <w:pStyle w:val="0"/>
        <w:numPr>
          <w:ilvl w:val="0"/>
          <w:numId w:val="8"/>
        </w:numPr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повышение имиджа выпускника казахстанских школ;</w:t>
      </w:r>
    </w:p>
    <w:p>
      <w:pPr>
        <w:jc w:val="both"/>
        <w:ind w:left="0" w:firstLine="709"/>
        <w:pStyle w:val="0"/>
        <w:numPr>
          <w:ilvl w:val="0"/>
          <w:numId w:val="8"/>
        </w:numPr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сохранение школьных традиций;</w:t>
      </w:r>
    </w:p>
    <w:p>
      <w:pPr>
        <w:jc w:val="both"/>
        <w:ind w:left="0" w:firstLine="709"/>
        <w:pStyle w:val="0"/>
        <w:numPr>
          <w:ilvl w:val="0"/>
          <w:numId w:val="8"/>
        </w:numPr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информационное обеспечение и широкое освещение в СМИ.</w:t>
      </w:r>
    </w:p>
    <w:p>
      <w:pPr>
        <w:jc w:val="both"/>
        <w:ind w:firstLine="709"/>
        <w:pStyle w:val="0"/>
        <w:rPr>
          <w:rFonts w:hAnsi="Century Gothic" w:ascii="Century Gothic"/>
          <w:sz w:val="32"/>
          <w:b w:val="1"/>
          <w:color w:val="002060"/>
        </w:rPr>
      </w:pPr>
      <w:r>
        <w:rPr>
          <w:rFonts w:hAnsi="Century Gothic" w:ascii="Century Gothic"/>
          <w:sz w:val="32"/>
          <w:b w:val="1"/>
          <w:color w:val="002060"/>
        </w:rPr>
        <w:t xml:space="preserve">Выпускные мероприятия включают:</w:t>
      </w:r>
    </w:p>
    <w:p>
      <w:pPr>
        <w:jc w:val="both"/>
        <w:ind w:left="0" w:firstLine="709"/>
        <w:pStyle w:val="0"/>
        <w:numPr>
          <w:ilvl w:val="0"/>
          <w:numId w:val="8"/>
        </w:numPr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праздник Последнего звонка – 25 мая 2017 года;</w:t>
      </w:r>
    </w:p>
    <w:p>
      <w:pPr>
        <w:jc w:val="both"/>
        <w:ind w:left="0" w:firstLine="709"/>
        <w:pStyle w:val="0"/>
        <w:numPr>
          <w:ilvl w:val="0"/>
          <w:numId w:val="8"/>
        </w:numPr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выпускные вечера (торжественное вручение аттестатов) – в период с 10 по 12 июня 2017 года;</w:t>
      </w:r>
    </w:p>
    <w:p>
      <w:pPr>
        <w:jc w:val="both"/>
        <w:ind w:left="0" w:firstLine="709"/>
        <w:pStyle w:val="0"/>
        <w:numPr>
          <w:ilvl w:val="0"/>
          <w:numId w:val="8"/>
        </w:numPr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акции выпускников – май-август 2017 года.</w:t>
      </w:r>
    </w:p>
    <w:p>
      <w:pPr>
        <w:jc w:val="both"/>
        <w:ind w:firstLine="709"/>
        <w:pStyle w:val="0"/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  <w:b w:val="1"/>
          <w:color w:val="002060"/>
        </w:rPr>
        <w:t xml:space="preserve">Организаторы выпускных мероприятий:</w:t>
      </w:r>
      <w:r>
        <w:rPr>
          <w:rFonts w:hAnsi="Century Gothic" w:ascii="Century Gothic"/>
          <w:sz w:val="32"/>
        </w:rPr>
        <w:t xml:space="preserve"> родительский организационный комитет, актив выпускников, творческая группа учителей.</w:t>
      </w:r>
    </w:p>
    <w:p>
      <w:pPr>
        <w:jc w:val="both"/>
        <w:ind w:firstLine="709"/>
        <w:pStyle w:val="0"/>
        <w:rPr>
          <w:rFonts w:hAnsi="Century Gothic" w:ascii="Century Gothic"/>
          <w:sz w:val="32"/>
          <w:color w:val="002060"/>
        </w:rPr>
      </w:pPr>
      <w:r>
        <w:rPr>
          <w:rFonts w:hAnsi="Century Gothic" w:ascii="Century Gothic"/>
          <w:sz w:val="32"/>
          <w:b w:val="1"/>
          <w:color w:val="002060"/>
        </w:rPr>
        <w:t xml:space="preserve">Почетные гости выпускных мероприятий:</w:t>
      </w:r>
      <w:r>
        <w:rPr>
          <w:rFonts w:hAnsi="Century Gothic" w:ascii="Century Gothic"/>
          <w:sz w:val="32"/>
          <w:b w:val="1"/>
        </w:rPr>
        <w:t xml:space="preserve"> </w:t>
      </w:r>
      <w:r>
        <w:rPr>
          <w:rFonts w:hAnsi="Century Gothic" w:ascii="Century Gothic"/>
          <w:sz w:val="32"/>
        </w:rPr>
        <w:t xml:space="preserve">ветераны педагогического труда, почетные жители города, родители выпускников, представители неправительственных организаций, в том числе молодежных, представители шефских предприятий, спонсоры и меценаты.</w:t>
      </w:r>
    </w:p>
    <w:p>
      <w:pPr>
        <w:jc w:val="both"/>
        <w:ind w:firstLine="709"/>
        <w:pStyle w:val="0"/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В сценарий программы выпускного мероприятия включаются поздравления лидеров республиканского движения «Жас </w:t>
      </w:r>
      <w:r>
        <w:rPr>
          <w:rFonts w:hAnsi="Arial" w:ascii="Arial"/>
          <w:sz w:val="32"/>
        </w:rPr>
        <w:t>ұ</w:t>
      </w:r>
      <w:r>
        <w:rPr>
          <w:rFonts w:hAnsi="Century Gothic" w:ascii="Century Gothic"/>
          <w:sz w:val="32"/>
        </w:rPr>
        <w:t xml:space="preserve">лан», «Жас </w:t>
      </w:r>
      <w:r>
        <w:rPr>
          <w:rFonts w:hAnsi="Arial" w:ascii="Arial"/>
          <w:sz w:val="32"/>
        </w:rPr>
        <w:t>қ</w:t>
      </w:r>
      <w:r>
        <w:rPr>
          <w:rFonts w:hAnsi="Century Gothic" w:ascii="Century Gothic"/>
          <w:sz w:val="32"/>
        </w:rPr>
        <w:t xml:space="preserve">ыран», лидеров молодежных общественных движений, активистов молодежного крыла НДП «НурОтан».</w:t>
      </w:r>
    </w:p>
    <w:p>
      <w:pPr>
        <w:jc w:val="both"/>
        <w:ind w:firstLine="709"/>
        <w:pStyle w:val="0"/>
        <w:rPr>
          <w:rFonts w:hAnsi="Century Gothic" w:ascii="Century Gothic"/>
          <w:sz w:val="32"/>
          <w:color w:val="002060"/>
        </w:rPr>
      </w:pPr>
      <w:r>
        <w:rPr>
          <w:rFonts w:hAnsi="Arial" w:ascii="Arial"/>
          <w:sz w:val="32"/>
          <w:b w:val="1"/>
          <w:color w:val="002060"/>
        </w:rPr>
        <w:t>Партнерство</w:t>
      </w:r>
      <w:r>
        <w:rPr>
          <w:rFonts w:hAnsi="Century Gothic" w:ascii="Century Gothic"/>
          <w:sz w:val="32"/>
          <w:b w:val="1"/>
          <w:color w:val="002060"/>
        </w:rPr>
        <w:t xml:space="preserve"> выпускных мероприятий</w:t>
      </w:r>
      <w:r>
        <w:rPr>
          <w:rFonts w:hAnsi="Arial" w:ascii="Arial"/>
          <w:sz w:val="32"/>
          <w:b w:val="1"/>
          <w:color w:val="002060"/>
        </w:rPr>
        <w:t xml:space="preserve">: </w:t>
      </w:r>
      <w:r>
        <w:rPr>
          <w:rFonts w:hAnsi="Century Gothic" w:ascii="Century Gothic"/>
          <w:sz w:val="32"/>
        </w:rPr>
        <w:t xml:space="preserve">Управления образования областей, городов Астаны и Алматы, отделы образования, организации дополнительного образования, учреждения культуры, НПО, СМИ.</w:t>
      </w:r>
    </w:p>
    <w:p>
      <w:pPr>
        <w:jc w:val="both"/>
        <w:ind w:firstLine="709"/>
        <w:pStyle w:val="15"/>
        <w:spacing w:before="0" w:after="0"/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  <w:b w:val="1"/>
          <w:color w:val="002060"/>
          <w:u w:val="single"/>
        </w:rPr>
        <w:t>Рекомендации</w:t>
      </w:r>
      <w:r>
        <w:rPr>
          <w:rFonts w:hAnsi="Century Gothic" w:ascii="Century Gothic"/>
          <w:sz w:val="32"/>
          <w:b w:val="1"/>
          <w:color w:val="002060"/>
        </w:rPr>
        <w:t xml:space="preserve"> </w:t>
      </w:r>
      <w:r>
        <w:rPr>
          <w:rFonts w:hAnsi="Century Gothic" w:ascii="Century Gothic"/>
          <w:sz w:val="32"/>
          <w:color w:val="002060"/>
        </w:rPr>
        <w:t xml:space="preserve">по проведению</w:t>
      </w:r>
      <w:r>
        <w:rPr>
          <w:rFonts w:hAnsi="Century Gothic" w:ascii="Century Gothic"/>
          <w:sz w:val="32"/>
          <w:b w:val="1"/>
          <w:color w:val="002060"/>
        </w:rPr>
        <w:t xml:space="preserve"> </w:t>
      </w:r>
      <w:r>
        <w:rPr>
          <w:rFonts w:hAnsi="Century Gothic" w:ascii="Century Gothic"/>
          <w:sz w:val="32"/>
        </w:rPr>
        <w:t xml:space="preserve">выпускных мероприятий:</w:t>
      </w:r>
    </w:p>
    <w:p>
      <w:pPr>
        <w:jc w:val="both"/>
        <w:ind w:firstLine="709"/>
        <w:pStyle w:val="15"/>
        <w:spacing w:before="0" w:after="0"/>
        <w:rPr>
          <w:rFonts w:hAnsi="Century Gothic" w:ascii="Century Gothic"/>
          <w:sz w:val="32"/>
          <w:b w:val="1"/>
          <w:color w:val="002060"/>
          <w:u w:val="single"/>
        </w:rPr>
      </w:pPr>
      <w:r>
        <w:rPr>
          <w:rFonts w:hAnsi="Century Gothic" w:ascii="Century Gothic"/>
          <w:sz w:val="32"/>
          <w:b w:val="1"/>
          <w:color w:val="002060"/>
        </w:rPr>
        <w:t xml:space="preserve">поддержать инициативы выпускников</w:t>
      </w:r>
      <w:r>
        <w:rPr>
          <w:rFonts w:hAnsi="Century Gothic" w:ascii="Century Gothic"/>
          <w:sz w:val="32"/>
        </w:rPr>
        <w:t xml:space="preserve"> по проведению с целью спасения других жизней или оказания помощи пострадавшим от наводнений благотворительных акций «Вместо выпускной вечеринки – спасение детской жизни», «За скромный выпускной!», «Выпускной без  роскоши», «Выпускной в джинсах»;</w:t>
      </w:r>
    </w:p>
    <w:p>
      <w:pPr>
        <w:jc w:val="both"/>
        <w:ind w:firstLine="709"/>
        <w:pStyle w:val="15"/>
        <w:spacing w:before="0" w:after="0"/>
        <w:rPr>
          <w:rFonts w:hAnsi="Century Gothic" w:ascii="Century Gothic"/>
          <w:sz w:val="32"/>
          <w:shd w:fill="ffffff"/>
        </w:rPr>
      </w:pPr>
      <w:r>
        <w:rPr>
          <w:rFonts w:hAnsi="Century Gothic" w:ascii="Century Gothic"/>
          <w:sz w:val="32"/>
          <w:b w:val="1"/>
          <w:color w:val="002060"/>
        </w:rPr>
        <w:t xml:space="preserve">республиканских акций </w:t>
      </w:r>
      <w:r>
        <w:rPr>
          <w:rFonts w:hAnsi="Century Gothic" w:ascii="Century Gothic"/>
          <w:sz w:val="32"/>
          <w:color w:val="000000"/>
        </w:rPr>
        <w:t xml:space="preserve">«Подари книги школе!», «Помоги своей школе!», </w:t>
      </w:r>
      <w:r>
        <w:rPr>
          <w:rFonts w:hAnsi="Century Gothic" w:ascii="Century Gothic"/>
          <w:sz w:val="32"/>
          <w:shd w:fill="ffffff"/>
        </w:rPr>
        <w:t xml:space="preserve">«Выпускник – любимой школе!»;</w:t>
      </w:r>
    </w:p>
    <w:p>
      <w:pPr>
        <w:jc w:val="both"/>
        <w:ind w:firstLine="709"/>
        <w:pStyle w:val="15"/>
        <w:spacing w:before="0" w:after="0"/>
        <w:rPr>
          <w:rFonts w:hAnsi="Century Gothic" w:ascii="Century Gothic"/>
          <w:sz w:val="32"/>
          <w:shd w:fill="ffffff"/>
        </w:rPr>
      </w:pPr>
      <w:r>
        <w:rPr>
          <w:rFonts w:hAnsi="Century Gothic" w:ascii="Century Gothic"/>
          <w:sz w:val="32"/>
          <w:b w:val="1"/>
          <w:color w:val="002060"/>
          <w:shd w:fill="ffffff"/>
        </w:rPr>
        <w:t xml:space="preserve">массового движения: </w:t>
      </w:r>
      <w:r>
        <w:rPr>
          <w:rFonts w:hAnsi="Century Gothic" w:ascii="Century Gothic"/>
          <w:sz w:val="32"/>
          <w:shd w:fill="ffffff"/>
        </w:rPr>
        <w:t xml:space="preserve">школьное движение «Start school: участвуй в улучшении любимой школы», движение выпускников школ «Завтра моей школы», родительское движение «Прочитай лекцию в школе», движение успешных родителей «Прочитай лекцию в школе», «Открой кружок в школе», «Проведи час воспитания для своего сына и его друзей», спонсорское движение «Школа на «5+», «За будущее школы»;</w:t>
      </w:r>
    </w:p>
    <w:p>
      <w:pPr>
        <w:ind w:firstLine="709"/>
        <w:pStyle w:val="15"/>
        <w:pBdr>
          <w:bottom w:sz="4" w:val="single" w:color="ffffff"/>
        </w:pBdr>
        <w:spacing w:before="0" w:after="0"/>
        <w:rPr>
          <w:rFonts w:hAnsi="Century Gothic" w:ascii="Century Gothic"/>
          <w:sz w:val="32"/>
          <w:b w:val="1"/>
          <w:color w:val="002060"/>
          <w:shd w:fill="ffffff"/>
        </w:rPr>
      </w:pPr>
      <w:r>
        <w:rPr>
          <w:rFonts w:hAnsi="Century Gothic" w:ascii="Century Gothic"/>
          <w:sz w:val="32"/>
          <w:b w:val="1"/>
          <w:color w:val="002060"/>
          <w:shd w:fill="ffffff"/>
        </w:rPr>
        <w:t xml:space="preserve">комплекса мер безопасности:</w:t>
      </w:r>
    </w:p>
    <w:p>
      <w:pPr>
        <w:jc w:val="both"/>
        <w:ind w:firstLine="709"/>
        <w:pStyle w:val="0"/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инструктировать всех выпускников и гостей о порядке проведения выпускного мероприятия и соблюдении требований безопасности;</w:t>
      </w:r>
    </w:p>
    <w:p>
      <w:pPr>
        <w:jc w:val="both"/>
        <w:ind w:firstLine="709"/>
        <w:pStyle w:val="0"/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обеспечить дежурство во всех помещениях и на территории, где проводятся выпускные мероприятия, соблюдение мер безопасности и эвакуацию в случае возникновения чрезвычайных ситуаций;</w:t>
      </w:r>
    </w:p>
    <w:p>
      <w:pPr>
        <w:jc w:val="both"/>
        <w:ind w:firstLine="709"/>
        <w:pStyle w:val="0"/>
        <w:rPr>
          <w:rFonts w:hAnsi="Century Gothic" w:ascii="Century Gothic"/>
          <w:sz w:val="32"/>
        </w:rPr>
      </w:pPr>
      <w:r>
        <w:rPr>
          <w:rFonts w:hAnsi="Century Gothic" w:ascii="Century Gothic"/>
          <w:sz w:val="32"/>
        </w:rPr>
        <w:t xml:space="preserve">привлекать к охране общественного порядка работников правоохранительных органов, к обеспечению безопасности участников работников ЧС  и здравоохранения.</w:t>
      </w:r>
    </w:p>
    <w:sectPr>
      <w:pgSz w:w="11907" w:h="16840"/>
      <w:pgMar w:top="1418" w:bottom="1418" w:left="1418" w:right="851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4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5">
    <w:lvl w:ilvl="0">
      <w:numFmt w:val="bullet"/>
      <w:lvlText w:val="-"/>
      <w:start w:val="3"/>
      <w:pPr>
        <w:ind w:left="1068" w:hanging="360"/>
      </w:pPr>
      <w:rPr>
        <w:rFonts w:hAnsi="Times New Roman" w:ascii="Times New Roman"/>
      </w:rPr>
    </w:lvl>
    <w:lvl w:ilvl="1">
      <w:numFmt w:val="bullet"/>
      <w:lvlText w:val="o"/>
      <w:start w:val="1"/>
      <w:pPr>
        <w:ind w:left="1788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508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3228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948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668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388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6108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828" w:hanging="360"/>
      </w:pPr>
      <w:rPr>
        <w:rFonts w:hAnsi="Wingdings" w:ascii="Wingdings"/>
      </w:rPr>
    </w:lvl>
  </w:abstractNum>
  <w:abstractNum w:abstractNumId="6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abstractNum w:abstractNumId="7">
    <w:lvl w:ilvl="0">
      <w:numFmt w:val="decimal"/>
      <w:lvlText w:val="%1."/>
      <w:start w:val="1"/>
      <w:pPr>
        <w:ind w:left="720" w:hanging="360"/>
      </w:pPr>
      <w:rPr>
        <w:color w:val="002060"/>
      </w:rPr>
    </w:lvl>
    <w:lvl w:ilvl="1">
      <w:numFmt w:val="decimal"/>
      <w:lvlText w:val="%1.%2."/>
      <w:start w:val="1"/>
      <w:pPr>
        <w:ind w:left="1430" w:hanging="720"/>
      </w:pPr>
      <w:rPr>
        <w:b w:val="1"/>
        <w:color w:val="002060"/>
      </w:rPr>
    </w:lvl>
    <w:lvl w:ilvl="2">
      <w:numFmt w:val="decimal"/>
      <w:lvlText w:val="%1.%2.%3."/>
      <w:start w:val="1"/>
      <w:pPr>
        <w:ind w:left="1080" w:hanging="720"/>
      </w:pPr>
      <w:rPr>
        <w:b w:val="1"/>
      </w:rPr>
    </w:lvl>
    <w:lvl w:ilvl="3">
      <w:numFmt w:val="decimal"/>
      <w:lvlText w:val="%1.%2.%3.%4."/>
      <w:start w:val="1"/>
      <w:pPr>
        <w:ind w:left="1440" w:hanging="1080"/>
      </w:pPr>
      <w:rPr>
        <w:b w:val="1"/>
      </w:rPr>
    </w:lvl>
    <w:lvl w:ilvl="4">
      <w:numFmt w:val="decimal"/>
      <w:lvlText w:val="%1.%2.%3.%4.%5."/>
      <w:start w:val="1"/>
      <w:pPr>
        <w:ind w:left="1800" w:hanging="1440"/>
      </w:pPr>
      <w:rPr>
        <w:b w:val="1"/>
      </w:rPr>
    </w:lvl>
    <w:lvl w:ilvl="5">
      <w:numFmt w:val="decimal"/>
      <w:lvlText w:val="%1.%2.%3.%4.%5.%6."/>
      <w:start w:val="1"/>
      <w:pPr>
        <w:ind w:left="1800" w:hanging="1440"/>
      </w:pPr>
      <w:rPr>
        <w:b w:val="1"/>
      </w:rPr>
    </w:lvl>
    <w:lvl w:ilvl="6">
      <w:numFmt w:val="decimal"/>
      <w:lvlText w:val="%1.%2.%3.%4.%5.%6.%7."/>
      <w:start w:val="1"/>
      <w:pPr>
        <w:ind w:left="2160" w:hanging="1800"/>
      </w:pPr>
      <w:rPr>
        <w:b w:val="1"/>
      </w:rPr>
    </w:lvl>
    <w:lvl w:ilvl="7">
      <w:numFmt w:val="decimal"/>
      <w:lvlText w:val="%1.%2.%3.%4.%5.%6.%7.%8."/>
      <w:start w:val="1"/>
      <w:pPr>
        <w:ind w:left="2520" w:hanging="2160"/>
      </w:pPr>
      <w:rPr>
        <w:b w:val="1"/>
      </w:rPr>
    </w:lvl>
    <w:lvl w:ilvl="8">
      <w:numFmt w:val="decimal"/>
      <w:lvlText w:val="%1.%2.%3.%4.%5.%6.%7.%8.%9."/>
      <w:start w:val="1"/>
      <w:pPr>
        <w:ind w:left="2520" w:hanging="2160"/>
      </w:pPr>
      <w:rPr>
        <w:b w:val="1"/>
      </w:rPr>
    </w:lvl>
  </w:abstractNum>
  <w:abstractNum w:abstractNumId="8">
    <w:lvl w:ilvl="0">
      <w:numFmt w:val="bullet"/>
      <w:lvlText w:val="-"/>
      <w:start w:val="0"/>
      <w:pPr>
        <w:ind w:left="1069" w:hanging="360"/>
      </w:pPr>
      <w:rPr>
        <w:rFonts w:hAnsi="Century Gothic" w:ascii="Century Gothic"/>
        <w:b w:val="1"/>
      </w:rPr>
    </w:lvl>
    <w:lvl w:ilvl="1">
      <w:numFmt w:val="bullet"/>
      <w:lvlText w:val="o"/>
      <w:start w:val="1"/>
      <w:pPr>
        <w:ind w:left="1789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509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3229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949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669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389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6109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829" w:hanging="360"/>
      </w:pPr>
      <w:rPr>
        <w:rFonts w:hAnsi="Wingdings" w:ascii="Wingdings"/>
      </w:rPr>
    </w:lvl>
  </w:abstractNum>
  <w:abstractNum w:abstractNumId="9">
    <w:lvl w:ilvl="0">
      <w:numFmt w:val="decimal"/>
      <w:lvlText w:val="%1."/>
      <w:start w:val="1"/>
      <w:pPr>
        <w:ind w:left="720" w:hanging="360"/>
      </w:pPr>
      <w:rPr>
        <w:color w:val="002060"/>
      </w:rPr>
    </w:lvl>
    <w:lvl w:ilvl="1">
      <w:numFmt w:val="decimal"/>
      <w:lvlText w:val="%1.%2."/>
      <w:start w:val="1"/>
      <w:pPr>
        <w:ind w:left="1713" w:hanging="720"/>
      </w:pPr>
      <w:rPr>
        <w:b w:val="1"/>
        <w:color w:val="002060"/>
      </w:rPr>
    </w:lvl>
    <w:lvl w:ilvl="2">
      <w:numFmt w:val="decimal"/>
      <w:lvlText w:val="%1.%2.%3."/>
      <w:start w:val="1"/>
      <w:pPr>
        <w:ind w:left="1080" w:hanging="720"/>
      </w:pPr>
      <w:rPr>
        <w:b w:val="1"/>
      </w:rPr>
    </w:lvl>
    <w:lvl w:ilvl="3">
      <w:numFmt w:val="decimal"/>
      <w:lvlText w:val="%1.%2.%3.%4."/>
      <w:start w:val="1"/>
      <w:pPr>
        <w:ind w:left="1440" w:hanging="1080"/>
      </w:pPr>
      <w:rPr>
        <w:b w:val="1"/>
      </w:rPr>
    </w:lvl>
    <w:lvl w:ilvl="4">
      <w:numFmt w:val="decimal"/>
      <w:lvlText w:val="%1.%2.%3.%4.%5."/>
      <w:start w:val="1"/>
      <w:pPr>
        <w:ind w:left="1800" w:hanging="1440"/>
      </w:pPr>
      <w:rPr>
        <w:b w:val="1"/>
      </w:rPr>
    </w:lvl>
    <w:lvl w:ilvl="5">
      <w:numFmt w:val="decimal"/>
      <w:lvlText w:val="%1.%2.%3.%4.%5.%6."/>
      <w:start w:val="1"/>
      <w:pPr>
        <w:ind w:left="1800" w:hanging="1440"/>
      </w:pPr>
      <w:rPr>
        <w:b w:val="1"/>
      </w:rPr>
    </w:lvl>
    <w:lvl w:ilvl="6">
      <w:numFmt w:val="decimal"/>
      <w:lvlText w:val="%1.%2.%3.%4.%5.%6.%7."/>
      <w:start w:val="1"/>
      <w:pPr>
        <w:ind w:left="2160" w:hanging="1800"/>
      </w:pPr>
      <w:rPr>
        <w:b w:val="1"/>
      </w:rPr>
    </w:lvl>
    <w:lvl w:ilvl="7">
      <w:numFmt w:val="decimal"/>
      <w:lvlText w:val="%1.%2.%3.%4.%5.%6.%7.%8."/>
      <w:start w:val="1"/>
      <w:pPr>
        <w:ind w:left="2520" w:hanging="2160"/>
      </w:pPr>
      <w:rPr>
        <w:b w:val="1"/>
      </w:rPr>
    </w:lvl>
    <w:lvl w:ilvl="8">
      <w:numFmt w:val="decimal"/>
      <w:lvlText w:val="%1.%2.%3.%4.%5.%6.%7.%8.%9."/>
      <w:start w:val="1"/>
      <w:pPr>
        <w:ind w:left="2520" w:hanging="2160"/>
      </w:pPr>
      <w:rPr>
        <w:b w:val="1"/>
      </w:rPr>
    </w:lvl>
  </w:abstractNum>
  <w:abstractNum w:abstractNumId="10">
    <w:lvl w:ilvl="0">
      <w:numFmt w:val="decimal"/>
      <w:lvlText w:val="%1."/>
      <w:start w:val="1"/>
      <w:pPr>
        <w:ind w:left="3839" w:hanging="720"/>
      </w:pPr>
    </w:lvl>
    <w:lvl w:ilvl="1">
      <w:numFmt w:val="decimal"/>
      <w:lvlText w:val="%1.%2."/>
      <w:start w:val="1"/>
      <w:pPr>
        <w:ind w:left="4188" w:hanging="720"/>
      </w:pPr>
      <w:rPr>
        <w:b w:val="1"/>
        <w:color w:val="002060"/>
      </w:rPr>
    </w:lvl>
    <w:lvl w:ilvl="2">
      <w:numFmt w:val="decimal"/>
      <w:lvlText w:val="%1.%2.%3."/>
      <w:start w:val="1"/>
      <w:pPr>
        <w:ind w:left="4897" w:hanging="1080"/>
      </w:pPr>
    </w:lvl>
    <w:lvl w:ilvl="3">
      <w:numFmt w:val="decimal"/>
      <w:lvlText w:val="%1.%2.%3.%4."/>
      <w:start w:val="1"/>
      <w:pPr>
        <w:ind w:left="5606" w:hanging="1440"/>
      </w:pPr>
    </w:lvl>
    <w:lvl w:ilvl="4">
      <w:numFmt w:val="decimal"/>
      <w:lvlText w:val="%1.%2.%3.%4.%5."/>
      <w:start w:val="1"/>
      <w:pPr>
        <w:ind w:left="5955" w:hanging="1440"/>
      </w:pPr>
    </w:lvl>
    <w:lvl w:ilvl="5">
      <w:numFmt w:val="decimal"/>
      <w:lvlText w:val="%1.%2.%3.%4.%5.%6."/>
      <w:start w:val="1"/>
      <w:pPr>
        <w:ind w:left="6664" w:hanging="1800"/>
      </w:pPr>
    </w:lvl>
    <w:lvl w:ilvl="6">
      <w:numFmt w:val="decimal"/>
      <w:lvlText w:val="%1.%2.%3.%4.%5.%6.%7."/>
      <w:start w:val="1"/>
      <w:pPr>
        <w:ind w:left="7373" w:hanging="2160"/>
      </w:pPr>
    </w:lvl>
    <w:lvl w:ilvl="7">
      <w:numFmt w:val="decimal"/>
      <w:lvlText w:val="%1.%2.%3.%4.%5.%6.%7.%8."/>
      <w:start w:val="1"/>
      <w:pPr>
        <w:ind w:left="8082" w:hanging="2520"/>
      </w:pPr>
    </w:lvl>
    <w:lvl w:ilvl="8">
      <w:numFmt w:val="decimal"/>
      <w:lvlText w:val="%1.%2.%3.%4.%5.%6.%7.%8.%9."/>
      <w:start w:val="1"/>
      <w:pPr>
        <w:ind w:left="8431" w:hanging="2520"/>
      </w:pPr>
    </w:lvl>
  </w:abstractNum>
  <w:abstractNum w:abstractNumId="11">
    <w:lvl w:ilvl="0">
      <w:numFmt w:val="decimal"/>
      <w:lvlText w:val="%1."/>
      <w:start w:val="1"/>
      <w:pPr>
        <w:ind w:left="1069" w:hanging="360"/>
      </w:pPr>
      <w:rPr>
        <w:b w:val="0"/>
      </w:rPr>
    </w:lvl>
    <w:lvl w:ilvl="1">
      <w:numFmt w:val="decimal"/>
      <w:lvlText w:val="%2."/>
      <w:start w:val="1"/>
      <w:pPr>
        <w:ind w:left="1789" w:hanging="360"/>
      </w:pPr>
    </w:lvl>
    <w:lvl w:ilvl="2">
      <w:numFmt w:val="decimal"/>
      <w:lvlText w:val="%3."/>
      <w:start w:val="1"/>
      <w:pPr>
        <w:ind w:left="2509" w:hanging="180"/>
      </w:pPr>
    </w:lvl>
    <w:lvl w:ilvl="3">
      <w:numFmt w:val="decimal"/>
      <w:lvlText w:val="%4."/>
      <w:start w:val="1"/>
      <w:pPr>
        <w:ind w:left="3229" w:hanging="360"/>
      </w:pPr>
    </w:lvl>
    <w:lvl w:ilvl="4">
      <w:numFmt w:val="decimal"/>
      <w:lvlText w:val="%5."/>
      <w:start w:val="1"/>
      <w:pPr>
        <w:ind w:left="3949" w:hanging="360"/>
      </w:pPr>
    </w:lvl>
    <w:lvl w:ilvl="5">
      <w:numFmt w:val="decimal"/>
      <w:lvlText w:val="%6."/>
      <w:start w:val="1"/>
      <w:pPr>
        <w:ind w:left="4669" w:hanging="180"/>
      </w:pPr>
    </w:lvl>
    <w:lvl w:ilvl="6">
      <w:numFmt w:val="decimal"/>
      <w:lvlText w:val="%7."/>
      <w:start w:val="1"/>
      <w:pPr>
        <w:ind w:left="5389" w:hanging="360"/>
      </w:pPr>
    </w:lvl>
    <w:lvl w:ilvl="7">
      <w:numFmt w:val="decimal"/>
      <w:lvlText w:val="%8."/>
      <w:start w:val="1"/>
      <w:pPr>
        <w:ind w:left="6109" w:hanging="360"/>
      </w:pPr>
    </w:lvl>
    <w:lvl w:ilvl="8">
      <w:numFmt w:val="decimal"/>
      <w:lvlText w:val="%9."/>
      <w:start w:val="1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24" w:type="paragraph">
    <w:name w:val="style-italic1"/>
    <w:pPr>
      <w:spacing w:before="150"/>
    </w:pPr>
    <w:rPr>
      <w:sz w:val="24"/>
      <w:i w:val="1"/>
    </w:rPr>
  </w:style>
  <w:style w:styleId="25" w:type="paragraph">
    <w:name w:val="Нижний колонтитул"/>
    <w:rPr>
      <w:sz w:val="24"/>
    </w:rPr>
  </w:style>
  <w:style w:styleId="27" w:type="paragraph">
    <w:name w:val="List Paragraph"/>
    <w:pPr>
      <w:ind w:left="720"/>
    </w:pPr>
    <w:rPr>
      <w:sz w:val="24"/>
    </w:rPr>
  </w:style>
  <w:style w:styleId="15" w:type="paragraph">
    <w:name w:val="Обычный (веб)"/>
    <w:pPr>
      <w:spacing w:before="100" w:after="100"/>
    </w:pPr>
    <w:rPr>
      <w:sz w:val="24"/>
    </w:rPr>
  </w:style>
  <w:style w:styleId="23" w:type="paragraph">
    <w:name w:val="Default"/>
    <w:rPr>
      <w:sz w:val="24"/>
      <w:color w:val="000000"/>
    </w:rPr>
  </w:style>
  <w:style w:styleId="31" w:type="paragraph">
    <w:name w:val="Верхний колонтитул"/>
    <w:rPr>
      <w:sz w:val="24"/>
    </w:rPr>
  </w:style>
  <w:style w:styleId="30" w:type="paragraph">
    <w:name w:val="Абзац списка"/>
    <w:pPr>
      <w:ind w:left="720"/>
      <w:spacing w:after="200" w:lineRule="auto" w:line="276.0"/>
    </w:pPr>
    <w:rPr>
      <w:rFonts w:hAnsi="Calibri" w:ascii="Calibri"/>
      <w:sz w:val="22"/>
    </w:rPr>
  </w:style>
  <w:style w:styleId="28" w:type="paragraph">
    <w:name w:val="Текст выноски"/>
    <w:rPr>
      <w:rFonts w:hAnsi="Tahoma" w:ascii="Tahoma"/>
      <w:sz w:val="16"/>
    </w:rPr>
  </w:style>
  <w:style w:styleId="1" w:type="paragraph">
    <w:name w:val="Заголовок 1"/>
    <w:pPr>
      <w:spacing w:before="100" w:after="100"/>
    </w:pPr>
    <w:rPr>
      <w:sz w:val="48"/>
      <w:b w:val="1"/>
    </w:rPr>
  </w:style>
  <w:style w:styleId="0" w:type="paragraph">
    <w:name w:val="Обычный"/>
    <w:rPr>
      <w:sz w:val="24"/>
    </w:rPr>
  </w:style>
  <w:style w:styleId="2" w:type="paragraph">
    <w:name w:val="Заголовок 2"/>
    <w:pPr>
      <w:spacing w:before="240" w:after="60"/>
    </w:pPr>
    <w:rPr>
      <w:rFonts w:hAnsi="Arial" w:ascii="Arial"/>
      <w:sz w:val="28"/>
      <w:b w:val="1"/>
      <w:i w:val="1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Выпускной вечер - 2017 - 2 (копия 1).docx</dc:title>
</cp:coreProperties>
</file>